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B0" w:rsidRPr="00A015B0" w:rsidRDefault="00A015B0" w:rsidP="00A015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3514"/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 w:themeFill="background1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10000"/>
      </w:tblGrid>
      <w:tr w:rsidR="007B7E0A" w:rsidRPr="00295D0E" w:rsidTr="007B7E0A">
        <w:trPr>
          <w:trHeight w:val="429"/>
          <w:tblCellSpacing w:w="15" w:type="dxa"/>
        </w:trPr>
        <w:tc>
          <w:tcPr>
            <w:tcW w:w="49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7E0A" w:rsidRPr="00295D0E" w:rsidRDefault="007B7E0A" w:rsidP="005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 xml:space="preserve">Алые паруса, праздник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ru-RU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. </w:t>
            </w:r>
            <w:r w:rsidRPr="007B7E0A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18"/>
                <w:szCs w:val="18"/>
                <w:lang w:eastAsia="ru-RU"/>
              </w:rPr>
              <w:t>Тур 5 дней / 4 ночи (3 дня / 2 ночи в С.Петербурге)</w:t>
            </w:r>
            <w:proofErr w:type="gramStart"/>
            <w:r w:rsidR="00F7202A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18"/>
                <w:szCs w:val="18"/>
                <w:lang w:eastAsia="ru-RU"/>
              </w:rPr>
              <w:t>.</w:t>
            </w:r>
            <w:proofErr w:type="gramEnd"/>
            <w:r w:rsidRPr="006F3122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br/>
            </w:r>
            <w:proofErr w:type="gramStart"/>
            <w:r w:rsidR="00591D3D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7"/>
                <w:shd w:val="clear" w:color="auto" w:fill="BFBFBF" w:themeFill="background1" w:themeFillShade="BF"/>
                <w:lang w:eastAsia="ru-RU"/>
              </w:rPr>
              <w:t>с</w:t>
            </w:r>
            <w:proofErr w:type="gramEnd"/>
            <w:r w:rsidR="00591D3D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7"/>
                <w:shd w:val="clear" w:color="auto" w:fill="BFBFBF" w:themeFill="background1" w:themeFillShade="BF"/>
                <w:lang w:eastAsia="ru-RU"/>
              </w:rPr>
              <w:t xml:space="preserve"> 20.06.19 - 24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7"/>
                <w:shd w:val="clear" w:color="auto" w:fill="BFBFBF" w:themeFill="background1" w:themeFillShade="BF"/>
                <w:lang w:eastAsia="ru-RU"/>
              </w:rPr>
              <w:t>.06.19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7"/>
                <w:shd w:val="clear" w:color="auto" w:fill="BFBFBF" w:themeFill="background1" w:themeFillShade="BF"/>
                <w:lang w:eastAsia="ru-RU"/>
              </w:rPr>
              <w:t xml:space="preserve">. </w:t>
            </w:r>
            <w:r w:rsidR="00591D3D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7"/>
                <w:shd w:val="clear" w:color="auto" w:fill="BFBFBF" w:themeFill="background1" w:themeFillShade="BF"/>
                <w:lang w:eastAsia="ru-RU"/>
              </w:rPr>
              <w:t>Д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 xml:space="preserve">ата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 xml:space="preserve">Алых парусов в ночь с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  <w:lang w:eastAsia="ru-RU"/>
              </w:rPr>
              <w:t xml:space="preserve"> 23.06.19 на 24.06.19.</w:t>
            </w:r>
          </w:p>
        </w:tc>
      </w:tr>
      <w:tr w:rsidR="007B7E0A" w:rsidRPr="00295D0E" w:rsidTr="00F7202A">
        <w:trPr>
          <w:trHeight w:val="181"/>
          <w:tblCellSpacing w:w="15" w:type="dxa"/>
        </w:trPr>
        <w:tc>
          <w:tcPr>
            <w:tcW w:w="49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B7E0A" w:rsidRPr="00295D0E" w:rsidRDefault="007B7E0A" w:rsidP="007B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1 ДЕНЬ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F7202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Отправление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B7E0A" w:rsidRPr="00295D0E" w:rsidTr="007B7E0A">
        <w:trPr>
          <w:trHeight w:val="1857"/>
          <w:tblCellSpacing w:w="15" w:type="dxa"/>
        </w:trPr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7E0A" w:rsidRPr="00295D0E" w:rsidRDefault="007B7E0A" w:rsidP="007B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  2 ДЕНЬ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</w:p>
        </w:tc>
        <w:tc>
          <w:tcPr>
            <w:tcW w:w="4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B7E0A" w:rsidRPr="00295D0E" w:rsidRDefault="007B7E0A" w:rsidP="007B7E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08:00 Ориентировочное прибытие в Санкт-Петербург. Завтрак. Обзорная экскурсия по городу,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в ходе которой вы узнаете, как развивался город, увидите Петропавловскую крепость на Заячьем острове, день закладки которой и является днём рождения новой столицы России, побываете на первой площади города – Троицкой - место торжеств, посвящённых победам в Северной войне, неподалёку от которой находится главная реликвия Петербурга – Домик Петра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ервого, прогуляетесь по аллеям первого регулярного парка России – Летнего сада. Побываете на месте Смоляного двора на излучине Невы, где Растрелли возвел комплекс Новодевичьего Смольного монастыря, в кельях которого находился Смольный институт благородных девиц. Нельзя не отдать долг памяти одному из небесных покровителей города – Святому Благоверному князю Александру Невскому, чьи мощи находятся в Свято-Троицком соборе первого монастыря Петербурга – Александро-Невской Лавры.  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Обед. Размещение в гостинице. Время для отдыха.</w:t>
            </w:r>
          </w:p>
        </w:tc>
      </w:tr>
      <w:tr w:rsidR="007B7E0A" w:rsidRPr="00295D0E" w:rsidTr="00591D3D">
        <w:trPr>
          <w:trHeight w:val="3919"/>
          <w:tblCellSpacing w:w="15" w:type="dxa"/>
        </w:trPr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7E0A" w:rsidRPr="00295D0E" w:rsidRDefault="007B7E0A" w:rsidP="007B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3 ДЕНЬ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</w:p>
        </w:tc>
        <w:tc>
          <w:tcPr>
            <w:tcW w:w="4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B7E0A" w:rsidRPr="00295D0E" w:rsidRDefault="007B7E0A" w:rsidP="00591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Завтрак.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Загородная экскурсия в Царское село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пройдет по одной из самых протяжённых магистралей города – Московскому проспекту, вобравшему в себя три века истории Северной столицы, с каналами и мостами, военными слободами, триумфальными арками, монастырями и кварталами жилых домов первой половины прошлого века. Вырвавшись из городских районов,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вы поднимитесь на Пулковские высоты,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откуда открывается вид на современный город, и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где находится «Астрономическая столица мира» - Пулковская обсерватория,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чьи корпуса были возведены в царствование Николая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ервого. Вы проследуете парадной дорогой Империи, по которой выезжали в свои летние резиденции русский цари и царицы, по которой спешили кавалькады нарядных карет и колясок.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Экскурсия по парку, посещение агатовых комнат Екатериной Великой в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Камероновой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галерее.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6E7FBC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0"/>
                <w:szCs w:val="20"/>
                <w:lang w:eastAsia="ru-RU"/>
              </w:rPr>
              <w:t>Шесть богато отделанных помещений для отдыха и развлечений, получившие название «Агатовых комнат»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- личные покои императрицы, где она просматривала государственные бумаги, отвечала на письма, занималась литературным трудом. Вы увидите 6 (шесть) «Агатовых комнат» второго этажа: Агатовый кабинет, Библиотеку, Большой зал,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Кабинетец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, Овальный кабинет, Яшмовый кабинет. 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Дополнительно по желанию вы можете посетить музеи и выставки, расположенные на территории парка):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Выставка «Царское Село. 1917. 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Накануне…».(200 руб.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.); Выставка «Возвращение веера»(50 руб.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.); Выставка  «Придворный экипаж в Царском селе»(200 руб.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.); музей «Россия в Великой войне» (Государева Ратная палата) (300 руб.); музей «Царскосельский арсенал императорская коллекция оружия»(250 руб.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.); выставка «Кавалерская мыльня XXI века» (150 руб.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.); павильон «Турецкая баня» (200 руб.);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 павильон «Эрмитаж»(350 руб.); экскурсии на электромобилях по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Екатеринскому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 и Александровскому паркам (250 руб.);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Пароная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 переправа  на большом пруду (200 руб.); </w:t>
            </w:r>
            <w:r w:rsidR="00F7202A" w:rsidRPr="006E7FBC">
              <w:rPr>
                <w:rFonts w:ascii="Times New Roman" w:eastAsia="Times New Roman" w:hAnsi="Times New Roman" w:cs="Times New Roman"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Екатерининский дворец (10</w:t>
            </w:r>
            <w:r w:rsidRPr="006E7FBC">
              <w:rPr>
                <w:rFonts w:ascii="Times New Roman" w:eastAsia="Times New Roman" w:hAnsi="Times New Roman" w:cs="Times New Roman"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00 руб. </w:t>
            </w:r>
            <w:proofErr w:type="spellStart"/>
            <w:r w:rsidRPr="006E7FBC">
              <w:rPr>
                <w:rFonts w:ascii="Times New Roman" w:eastAsia="Times New Roman" w:hAnsi="Times New Roman" w:cs="Times New Roman"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6E7FBC">
              <w:rPr>
                <w:rFonts w:ascii="Times New Roman" w:eastAsia="Times New Roman" w:hAnsi="Times New Roman" w:cs="Times New Roman"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.).</w:t>
            </w:r>
            <w:r w:rsidRPr="006E7FBC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Обед. Возвращение в гостиницу. </w:t>
            </w:r>
          </w:p>
        </w:tc>
      </w:tr>
      <w:tr w:rsidR="007B7E0A" w:rsidRPr="00295D0E" w:rsidTr="007B7E0A">
        <w:trPr>
          <w:trHeight w:val="2454"/>
          <w:tblCellSpacing w:w="15" w:type="dxa"/>
        </w:trPr>
        <w:tc>
          <w:tcPr>
            <w:tcW w:w="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7E0A" w:rsidRPr="00295D0E" w:rsidRDefault="007B7E0A" w:rsidP="007B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4 ДЕНЬ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</w:p>
        </w:tc>
        <w:tc>
          <w:tcPr>
            <w:tcW w:w="4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B7E0A" w:rsidRPr="00295D0E" w:rsidRDefault="007B7E0A" w:rsidP="00F7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Завтрак. Загородная экскурсия в город Петергоф.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Экскурсия познакомит вас с историей приморской дороги вдоль южного берега Финского залива и с выдающимся замыслом Петра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ервого по созданию не имеющего в мире ансамбля усадеб и дач. Сохранившиеся усадьбы и дачи Петергофской дороги, принадлежавшие знатным российским фамилиям, неразрывно связаны с историей нашей страны. В ходе поездки вы увидите усадьбы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Новознаменка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Александрино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Кирьяново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, услышите рассказ о Царском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Лигово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, полюбуетесь Великокняжескими усадьбами Михайловкой, Знаменкой и Стрельной, узнаете об их истории и современности. Миновав зелёное кольцо из Петергофских парков, окажетесь в городских кварталах Российской столицы фонтанов и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посетите возведённый в русском стиле в начале ХХ века действующий Петропавловский собор, совершите экскурсию по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петергофскому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нижнему и верхнему паркам фонтанов.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 свободное время рекомендуем посетить малые дворц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ы(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стоимость билетов 150– 300 руб. 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взр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.):  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Музей "Церковный корпус", Музей "Особая кладовая", Историко-культурный проект "Государевы потехи", Музей Екатерининский корпус", Музей "Банный корпус", Музей коллекционеров, Музей семьи Бенуа, Дворец "</w:t>
            </w:r>
            <w:proofErr w:type="spellStart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Монплезир</w:t>
            </w:r>
            <w:proofErr w:type="spellEnd"/>
            <w:r w:rsidRPr="00295D0E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", Павильон "Эрмитаж", Дворец "Марли", Музей "Гроты Большого каскада", Музей фонтанного дела, Музей "Императорские яхты"</w:t>
            </w:r>
            <w:r w:rsidR="0039251C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  <w:proofErr w:type="gramEnd"/>
            <w:r w:rsidR="0039251C">
              <w:rPr>
                <w:rFonts w:ascii="Times New Roman" w:eastAsia="Times New Roman" w:hAnsi="Times New Roman" w:cs="Times New Roman"/>
                <w:i/>
                <w:i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Обед.</w:t>
            </w:r>
            <w:r w:rsidR="00591D3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591D3D"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591D3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Свободное время.</w:t>
            </w:r>
            <w:r w:rsidR="00591D3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br/>
            </w:r>
            <w:proofErr w:type="gramStart"/>
            <w:r w:rsidR="00591D3D"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Выез</w:t>
            </w:r>
            <w:r w:rsidR="00591D3D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д на вечернее шоу "Алые паруса".  </w:t>
            </w:r>
            <w:r w:rsidR="00591D3D" w:rsidRPr="006E7FB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21.00 - 23.00 - сбор выпускников и их гостей на Дворцовой площади</w:t>
            </w:r>
            <w:r w:rsidR="00591D3D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.</w:t>
            </w:r>
            <w:r w:rsidR="00591D3D" w:rsidRPr="006E7FB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591D3D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br/>
            </w:r>
            <w:r w:rsidR="00591D3D" w:rsidRPr="006E7FB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>23.00 - Начало театрализованного пролога на Дворцовой площади. 01:40 Фееричное пиротехническое шоу на Неве между Троицким, Дворцовым и Биржевым мостами.</w:t>
            </w:r>
            <w:r w:rsidR="00591D3D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  <w:r w:rsidR="00591D3D" w:rsidRPr="006E7FB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!!! ВНИМАНИЕ!!!</w:t>
            </w:r>
            <w:proofErr w:type="gramEnd"/>
            <w:r w:rsidR="00591D3D" w:rsidRPr="006E7FB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Пригласительные билеты на Дворцовую площадь распространяются бесплатно ТОЛЬКО среди выпускников Санкт-Петербурга! Официально купить их НЕВОЗМОЖНО! Для НЕВЫПУСКНИКОВ существует площадка на стрелке Васильевского острова, куда вход бесплатный. Никаких </w:t>
            </w:r>
            <w:proofErr w:type="spellStart"/>
            <w:r w:rsidR="00591D3D" w:rsidRPr="006E7FB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ВИП-билетов</w:t>
            </w:r>
            <w:proofErr w:type="spellEnd"/>
            <w:r w:rsidR="00591D3D" w:rsidRPr="006E7FB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и похожего просто не существует!</w:t>
            </w: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 xml:space="preserve"> Отъезд.</w:t>
            </w:r>
          </w:p>
        </w:tc>
      </w:tr>
      <w:tr w:rsidR="007B7E0A" w:rsidRPr="00295D0E" w:rsidTr="007B7E0A">
        <w:trPr>
          <w:trHeight w:val="199"/>
          <w:tblCellSpacing w:w="15" w:type="dxa"/>
        </w:trPr>
        <w:tc>
          <w:tcPr>
            <w:tcW w:w="49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7B7E0A" w:rsidRPr="00295D0E" w:rsidRDefault="007B7E0A" w:rsidP="007B7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>5 ДЕНЬ</w:t>
            </w:r>
            <w:proofErr w:type="gramStart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95D0E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  <w:lang w:eastAsia="ru-RU"/>
              </w:rPr>
              <w:t xml:space="preserve"> ПРИБЫТИЕ В НИЖНИЙ НОВГОРОД.</w:t>
            </w:r>
          </w:p>
        </w:tc>
      </w:tr>
    </w:tbl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52"/>
        <w:gridCol w:w="4253"/>
        <w:gridCol w:w="2799"/>
      </w:tblGrid>
      <w:tr w:rsidR="008F1ACB" w:rsidRPr="00295D0E" w:rsidTr="00804135">
        <w:trPr>
          <w:trHeight w:val="493"/>
        </w:trPr>
        <w:tc>
          <w:tcPr>
            <w:tcW w:w="10704" w:type="dxa"/>
            <w:gridSpan w:val="3"/>
            <w:shd w:val="clear" w:color="auto" w:fill="BFBFBF" w:themeFill="background1" w:themeFillShade="BF"/>
            <w:vAlign w:val="center"/>
          </w:tcPr>
          <w:p w:rsidR="008F1ACB" w:rsidRPr="00295D0E" w:rsidRDefault="006579F2" w:rsidP="00804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</w:pPr>
            <w:hyperlink r:id="rId5" w:tgtFrame="_blank" w:history="1">
              <w:r w:rsidR="008F1ACB" w:rsidRPr="00295D0E">
                <w:rPr>
                  <w:rFonts w:ascii="Times New Roman" w:eastAsia="Times New Roman" w:hAnsi="Times New Roman" w:cs="Times New Roman"/>
                  <w:b/>
                  <w:bCs/>
                  <w:color w:val="17365D" w:themeColor="text2" w:themeShade="BF"/>
                  <w:lang w:eastAsia="ru-RU"/>
                </w:rPr>
                <w:t>Отель "Лебедушка" 3*</w:t>
              </w:r>
            </w:hyperlink>
            <w:r w:rsidR="008F1ACB"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u-RU"/>
              </w:rPr>
              <w:t xml:space="preserve">(с. Петербург, </w:t>
            </w:r>
            <w:proofErr w:type="spellStart"/>
            <w:r w:rsidR="008F1ACB"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u-RU"/>
              </w:rPr>
              <w:t>пр-т</w:t>
            </w:r>
            <w:proofErr w:type="spellEnd"/>
            <w:r w:rsidR="008F1ACB"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lang w:eastAsia="ru-RU"/>
              </w:rPr>
              <w:t xml:space="preserve"> Энгельса, дом 30). Ст. метро "Удельная".</w:t>
            </w:r>
            <w:r w:rsidR="008F1ACB"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8F1ACB" w:rsidRPr="00295D0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="008F1ACB" w:rsidRPr="00295D0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Отель располагается в очень зеленом районе Санкт-Петербурга, вблизи прекрасного и живописного Удельного</w:t>
            </w:r>
            <w:r w:rsidR="008F1ACB" w:rsidRPr="00295D0E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 xml:space="preserve">. </w:t>
            </w:r>
            <w:r w:rsidR="008F1ACB" w:rsidRPr="00295D0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Напротив, отеля «Лебедушка» находится большая торговая зона, в том числе торговый центр «</w:t>
            </w:r>
            <w:proofErr w:type="spellStart"/>
            <w:r w:rsidR="008F1ACB" w:rsidRPr="00295D0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Светлановский</w:t>
            </w:r>
            <w:proofErr w:type="spellEnd"/>
            <w:r w:rsidR="008F1ACB" w:rsidRPr="00295D0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», супермаркет «Перекресток», многочисленные магазины, рестораны и кафе.</w:t>
            </w:r>
          </w:p>
        </w:tc>
      </w:tr>
      <w:tr w:rsidR="008F1ACB" w:rsidRPr="00E927E4" w:rsidTr="00295D0E">
        <w:trPr>
          <w:trHeight w:val="295"/>
        </w:trPr>
        <w:tc>
          <w:tcPr>
            <w:tcW w:w="3652" w:type="dxa"/>
            <w:vAlign w:val="center"/>
          </w:tcPr>
          <w:p w:rsidR="008F1ACB" w:rsidRPr="00E927E4" w:rsidRDefault="008F1ACB" w:rsidP="00804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E927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РАЗМЕЩЕНИЕ</w:t>
            </w:r>
            <w:r w:rsidRPr="00E927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br/>
            </w:r>
          </w:p>
        </w:tc>
        <w:tc>
          <w:tcPr>
            <w:tcW w:w="4253" w:type="dxa"/>
            <w:vAlign w:val="center"/>
          </w:tcPr>
          <w:p w:rsidR="008F1ACB" w:rsidRPr="00E927E4" w:rsidRDefault="008F1ACB" w:rsidP="00804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E927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ВЗРОСЛЫЙ (старше 16 лет)</w:t>
            </w:r>
          </w:p>
        </w:tc>
        <w:tc>
          <w:tcPr>
            <w:tcW w:w="2799" w:type="dxa"/>
            <w:vAlign w:val="center"/>
          </w:tcPr>
          <w:p w:rsidR="008F1ACB" w:rsidRPr="00E927E4" w:rsidRDefault="008F1ACB" w:rsidP="00804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E927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ШКОЛЬНИК (до 15 лет)</w:t>
            </w:r>
          </w:p>
        </w:tc>
      </w:tr>
      <w:tr w:rsidR="008F1ACB" w:rsidRPr="007B7E0A" w:rsidTr="007B7E0A">
        <w:trPr>
          <w:trHeight w:val="245"/>
        </w:trPr>
        <w:tc>
          <w:tcPr>
            <w:tcW w:w="3652" w:type="dxa"/>
          </w:tcPr>
          <w:p w:rsidR="008F1ACB" w:rsidRPr="007B7E0A" w:rsidRDefault="008F1ACB" w:rsidP="00804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B7E0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2-х, 3-х местный номер с удобствами</w:t>
            </w:r>
          </w:p>
        </w:tc>
        <w:tc>
          <w:tcPr>
            <w:tcW w:w="7052" w:type="dxa"/>
            <w:gridSpan w:val="2"/>
            <w:vMerge w:val="restart"/>
          </w:tcPr>
          <w:p w:rsidR="008F1ACB" w:rsidRPr="007B7E0A" w:rsidRDefault="008F1ACB" w:rsidP="008041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7B7E0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Цена на сайте  </w:t>
            </w:r>
            <w:hyperlink r:id="rId6" w:history="1">
              <w:r w:rsidRPr="007B7E0A">
                <w:rPr>
                  <w:rStyle w:val="a5"/>
                  <w:rFonts w:ascii="Times New Roman" w:eastAsia="Times New Roman" w:hAnsi="Times New Roman" w:cs="Times New Roman"/>
                  <w:color w:val="002060"/>
                  <w:sz w:val="20"/>
                  <w:szCs w:val="20"/>
                  <w:lang w:eastAsia="ru-RU"/>
                </w:rPr>
                <w:t>http://tur-vesna.ru/</w:t>
              </w:r>
            </w:hyperlink>
          </w:p>
        </w:tc>
      </w:tr>
      <w:tr w:rsidR="008F1ACB" w:rsidRPr="007B7E0A" w:rsidTr="007B7E0A">
        <w:trPr>
          <w:trHeight w:val="194"/>
        </w:trPr>
        <w:tc>
          <w:tcPr>
            <w:tcW w:w="3652" w:type="dxa"/>
          </w:tcPr>
          <w:p w:rsidR="008F1ACB" w:rsidRPr="007B7E0A" w:rsidRDefault="008F1ACB" w:rsidP="00804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7B7E0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 1-0 местный номер  с удобствами</w:t>
            </w:r>
          </w:p>
        </w:tc>
        <w:tc>
          <w:tcPr>
            <w:tcW w:w="7052" w:type="dxa"/>
            <w:gridSpan w:val="2"/>
            <w:vMerge/>
          </w:tcPr>
          <w:p w:rsidR="008F1ACB" w:rsidRPr="007B7E0A" w:rsidRDefault="008F1ACB" w:rsidP="0080413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8F1ACB" w:rsidRPr="006E7FBC" w:rsidTr="00F7202A">
        <w:trPr>
          <w:trHeight w:val="1470"/>
        </w:trPr>
        <w:tc>
          <w:tcPr>
            <w:tcW w:w="10704" w:type="dxa"/>
            <w:gridSpan w:val="3"/>
          </w:tcPr>
          <w:p w:rsidR="008F1ACB" w:rsidRPr="006E7FBC" w:rsidRDefault="008F1ACB" w:rsidP="006E7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 xml:space="preserve">В стоимость входит: </w:t>
            </w:r>
            <w:r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br/>
              <w:t>Проезд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 автобусом по маршруту Н. Новгород</w:t>
            </w:r>
            <w:r w:rsid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 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-</w:t>
            </w:r>
            <w:r w:rsid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 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С. Петербург - Н. Новгород, страховка от ДТП.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br/>
            </w:r>
            <w:r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>Проживание: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 г</w:t>
            </w:r>
            <w:r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 xml:space="preserve">остиница "Лебедушка" 3* 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(Санкт-Петербург, проспект Энгельса, д. 30). Станция метро «Удельная». 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br/>
            </w:r>
            <w:r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>Питание:</w:t>
            </w:r>
            <w:r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 3 завтрака, 3 обеда.</w:t>
            </w:r>
            <w:r w:rsidR="00295D0E"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 </w:t>
            </w:r>
            <w:r w:rsidR="00F7202A" w:rsidRPr="006E7FBC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br/>
            </w:r>
            <w:r w:rsidR="0039251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 xml:space="preserve">Экскурсионное обслуживание, </w:t>
            </w:r>
            <w:r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 xml:space="preserve"> входные билеты в музеи (Царское село: парк + Агат</w:t>
            </w:r>
            <w:r w:rsid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 xml:space="preserve">овые комнаты Екатерины Великой, </w:t>
            </w:r>
            <w:r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 xml:space="preserve">Петергоф: верхний + нижний парки + Петропавловский собор),  </w:t>
            </w:r>
            <w:r w:rsidR="00295D0E"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>концертная программа «Алые паруса»</w:t>
            </w:r>
            <w:r w:rsidR="006E7FBC" w:rsidRPr="006E7F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eastAsia="ru-RU"/>
              </w:rPr>
              <w:t>, обзорная экскурсия по городу.</w:t>
            </w:r>
          </w:p>
        </w:tc>
      </w:tr>
    </w:tbl>
    <w:p w:rsidR="00A015B0" w:rsidRPr="007B7E0A" w:rsidRDefault="00A015B0" w:rsidP="00F7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15B0" w:rsidRPr="007B7E0A" w:rsidSect="00A015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F1"/>
    <w:multiLevelType w:val="multilevel"/>
    <w:tmpl w:val="8A9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61BB"/>
    <w:multiLevelType w:val="multilevel"/>
    <w:tmpl w:val="0D2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C5FEC"/>
    <w:multiLevelType w:val="multilevel"/>
    <w:tmpl w:val="471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A4147"/>
    <w:multiLevelType w:val="multilevel"/>
    <w:tmpl w:val="1A50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E2343"/>
    <w:multiLevelType w:val="multilevel"/>
    <w:tmpl w:val="08A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D6447"/>
    <w:multiLevelType w:val="multilevel"/>
    <w:tmpl w:val="8AA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571B0"/>
    <w:multiLevelType w:val="multilevel"/>
    <w:tmpl w:val="9A8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6528B"/>
    <w:multiLevelType w:val="multilevel"/>
    <w:tmpl w:val="E51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07FE8"/>
    <w:multiLevelType w:val="multilevel"/>
    <w:tmpl w:val="879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34687"/>
    <w:multiLevelType w:val="multilevel"/>
    <w:tmpl w:val="DC0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01B24"/>
    <w:multiLevelType w:val="multilevel"/>
    <w:tmpl w:val="F32E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70A53"/>
    <w:multiLevelType w:val="multilevel"/>
    <w:tmpl w:val="76EA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D7926"/>
    <w:multiLevelType w:val="multilevel"/>
    <w:tmpl w:val="E85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008F5"/>
    <w:multiLevelType w:val="multilevel"/>
    <w:tmpl w:val="A38E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71601"/>
    <w:multiLevelType w:val="multilevel"/>
    <w:tmpl w:val="AB90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37926"/>
    <w:multiLevelType w:val="multilevel"/>
    <w:tmpl w:val="F9A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34835"/>
    <w:multiLevelType w:val="multilevel"/>
    <w:tmpl w:val="35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056C9"/>
    <w:multiLevelType w:val="multilevel"/>
    <w:tmpl w:val="4FE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6370AA"/>
    <w:multiLevelType w:val="multilevel"/>
    <w:tmpl w:val="0FB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002EC"/>
    <w:multiLevelType w:val="multilevel"/>
    <w:tmpl w:val="A75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0433B"/>
    <w:multiLevelType w:val="multilevel"/>
    <w:tmpl w:val="CE5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431CA"/>
    <w:multiLevelType w:val="multilevel"/>
    <w:tmpl w:val="940E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346F0"/>
    <w:multiLevelType w:val="multilevel"/>
    <w:tmpl w:val="43D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46F73"/>
    <w:multiLevelType w:val="multilevel"/>
    <w:tmpl w:val="B8F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74253"/>
    <w:multiLevelType w:val="multilevel"/>
    <w:tmpl w:val="5412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C50FA"/>
    <w:multiLevelType w:val="multilevel"/>
    <w:tmpl w:val="BFB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44D97"/>
    <w:multiLevelType w:val="multilevel"/>
    <w:tmpl w:val="A87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539F7"/>
    <w:multiLevelType w:val="multilevel"/>
    <w:tmpl w:val="D774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FC273E"/>
    <w:multiLevelType w:val="multilevel"/>
    <w:tmpl w:val="609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250F5"/>
    <w:multiLevelType w:val="multilevel"/>
    <w:tmpl w:val="136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10E96"/>
    <w:multiLevelType w:val="multilevel"/>
    <w:tmpl w:val="A77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B0E5D"/>
    <w:multiLevelType w:val="multilevel"/>
    <w:tmpl w:val="5F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8"/>
  </w:num>
  <w:num w:numId="5">
    <w:abstractNumId w:val="29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17"/>
  </w:num>
  <w:num w:numId="16">
    <w:abstractNumId w:val="12"/>
  </w:num>
  <w:num w:numId="17">
    <w:abstractNumId w:val="24"/>
  </w:num>
  <w:num w:numId="18">
    <w:abstractNumId w:val="15"/>
  </w:num>
  <w:num w:numId="19">
    <w:abstractNumId w:val="14"/>
  </w:num>
  <w:num w:numId="20">
    <w:abstractNumId w:val="31"/>
  </w:num>
  <w:num w:numId="21">
    <w:abstractNumId w:val="7"/>
  </w:num>
  <w:num w:numId="22">
    <w:abstractNumId w:val="27"/>
  </w:num>
  <w:num w:numId="23">
    <w:abstractNumId w:val="21"/>
  </w:num>
  <w:num w:numId="24">
    <w:abstractNumId w:val="26"/>
  </w:num>
  <w:num w:numId="25">
    <w:abstractNumId w:val="25"/>
  </w:num>
  <w:num w:numId="26">
    <w:abstractNumId w:val="30"/>
  </w:num>
  <w:num w:numId="27">
    <w:abstractNumId w:val="3"/>
  </w:num>
  <w:num w:numId="28">
    <w:abstractNumId w:val="13"/>
  </w:num>
  <w:num w:numId="29">
    <w:abstractNumId w:val="28"/>
  </w:num>
  <w:num w:numId="30">
    <w:abstractNumId w:val="0"/>
  </w:num>
  <w:num w:numId="31">
    <w:abstractNumId w:val="2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66DDD"/>
    <w:rsid w:val="000032BF"/>
    <w:rsid w:val="00016037"/>
    <w:rsid w:val="0008494F"/>
    <w:rsid w:val="0019395D"/>
    <w:rsid w:val="001966BA"/>
    <w:rsid w:val="002143CF"/>
    <w:rsid w:val="00250666"/>
    <w:rsid w:val="00284B21"/>
    <w:rsid w:val="00295D0E"/>
    <w:rsid w:val="002C5BCE"/>
    <w:rsid w:val="002D7055"/>
    <w:rsid w:val="0039251C"/>
    <w:rsid w:val="00396974"/>
    <w:rsid w:val="003C7DA5"/>
    <w:rsid w:val="00412028"/>
    <w:rsid w:val="0043411C"/>
    <w:rsid w:val="004D0FB8"/>
    <w:rsid w:val="004D17BC"/>
    <w:rsid w:val="004D34C6"/>
    <w:rsid w:val="00510CCD"/>
    <w:rsid w:val="005450EE"/>
    <w:rsid w:val="00552768"/>
    <w:rsid w:val="00591D3D"/>
    <w:rsid w:val="005E5601"/>
    <w:rsid w:val="00622C73"/>
    <w:rsid w:val="006579F2"/>
    <w:rsid w:val="006805EE"/>
    <w:rsid w:val="006C42F6"/>
    <w:rsid w:val="006E7FBC"/>
    <w:rsid w:val="006F3122"/>
    <w:rsid w:val="007002E4"/>
    <w:rsid w:val="00774A2F"/>
    <w:rsid w:val="007B7E0A"/>
    <w:rsid w:val="00822136"/>
    <w:rsid w:val="00877E94"/>
    <w:rsid w:val="0089017A"/>
    <w:rsid w:val="008B3E23"/>
    <w:rsid w:val="008F1ACB"/>
    <w:rsid w:val="00904428"/>
    <w:rsid w:val="009A14D8"/>
    <w:rsid w:val="009C6723"/>
    <w:rsid w:val="00A015B0"/>
    <w:rsid w:val="00A41195"/>
    <w:rsid w:val="00AC3AAF"/>
    <w:rsid w:val="00B50C1E"/>
    <w:rsid w:val="00B61632"/>
    <w:rsid w:val="00D301C0"/>
    <w:rsid w:val="00D63651"/>
    <w:rsid w:val="00E06D1C"/>
    <w:rsid w:val="00E851B2"/>
    <w:rsid w:val="00E924BA"/>
    <w:rsid w:val="00E927E4"/>
    <w:rsid w:val="00EF0B5F"/>
    <w:rsid w:val="00EF795A"/>
    <w:rsid w:val="00F06267"/>
    <w:rsid w:val="00F66DDD"/>
    <w:rsid w:val="00F7202A"/>
    <w:rsid w:val="00F83410"/>
    <w:rsid w:val="00FA6492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DDD"/>
    <w:rPr>
      <w:b/>
      <w:bCs/>
    </w:rPr>
  </w:style>
  <w:style w:type="paragraph" w:styleId="a4">
    <w:name w:val="Normal (Web)"/>
    <w:basedOn w:val="a"/>
    <w:uiPriority w:val="99"/>
    <w:unhideWhenUsed/>
    <w:rsid w:val="0087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15B0"/>
    <w:rPr>
      <w:color w:val="0000FF"/>
      <w:u w:val="single"/>
    </w:rPr>
  </w:style>
  <w:style w:type="character" w:styleId="a6">
    <w:name w:val="Emphasis"/>
    <w:basedOn w:val="a0"/>
    <w:uiPriority w:val="20"/>
    <w:qFormat/>
    <w:rsid w:val="00A015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5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-vesna.ru/" TargetMode="External"/><Relationship Id="rId5" Type="http://schemas.openxmlformats.org/officeDocument/2006/relationships/hyperlink" Target="http://tur-vesna.ru/bazovye-gostinicy-v-sezone-2018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2019-02-08T11:31:00Z</dcterms:created>
  <dcterms:modified xsi:type="dcterms:W3CDTF">2019-05-31T16:09:00Z</dcterms:modified>
</cp:coreProperties>
</file>